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C" w:rsidRPr="00D57135" w:rsidRDefault="005B734C" w:rsidP="005B734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cs="Tahoma"/>
          <w:noProof/>
        </w:rPr>
        <w:drawing>
          <wp:inline distT="0" distB="0" distL="0" distR="0" wp14:anchorId="271C2139" wp14:editId="7D335388">
            <wp:extent cx="6334125" cy="1028700"/>
            <wp:effectExtent l="0" t="0" r="9525" b="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4C" w:rsidRPr="00D57135" w:rsidRDefault="00AF4CAD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D14170">
        <w:rPr>
          <w:rFonts w:ascii="Times New Roman" w:eastAsia="Times New Roman" w:hAnsi="Times New Roman" w:cs="Times New Roman"/>
          <w:sz w:val="28"/>
          <w:szCs w:val="28"/>
          <w:lang w:val="ro-RO"/>
        </w:rPr>
        <w:t>.80948/29.05.2013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5B734C" w:rsidP="00AF4C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……………………………………………..</w:t>
      </w:r>
    </w:p>
    <w:p w:rsidR="005B734C" w:rsidRPr="00D57135" w:rsidRDefault="005B734C" w:rsidP="00AF4CA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Prin prezenta, vă invităm să participaţi la procedura organizată pentru atribuirea prin achiziţie directă a contractului de achiziţie publică privind „</w:t>
      </w:r>
      <w:r w:rsidR="00587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servicii de reparație și întreținere aparate de copiat, telefonie și rețele telefonice 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sedii DVBL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" –</w:t>
      </w:r>
      <w:r w:rsidR="00587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 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sedii ale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Direcției venituri Buget Local Sector 2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conform caietului de sarcini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Valoarea estimat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achizi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ț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</w:t>
      </w:r>
      <w:r w:rsidR="00E52C82">
        <w:rPr>
          <w:rFonts w:ascii="Times New Roman" w:hAnsi="Times New Roman" w:cs="Times New Roman"/>
          <w:sz w:val="28"/>
          <w:szCs w:val="28"/>
          <w:lang w:val="it-IT"/>
        </w:rPr>
        <w:t xml:space="preserve">17338,65 </w:t>
      </w:r>
      <w:r w:rsidRPr="00D57135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>lei (fara TVA)</w:t>
      </w:r>
    </w:p>
    <w:p w:rsidR="00587534" w:rsidRDefault="00232774" w:rsidP="00AF4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CPV: </w:t>
      </w:r>
      <w:r w:rsidRPr="00232774"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58753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587534" w:rsidRPr="00587534">
        <w:rPr>
          <w:rFonts w:ascii="Times New Roman" w:hAnsi="Times New Roman" w:cs="Times New Roman"/>
          <w:sz w:val="28"/>
          <w:szCs w:val="28"/>
          <w:lang w:val="it-IT"/>
        </w:rPr>
        <w:t xml:space="preserve">50310000-1 - Repararea si intretinerea masinilor de birou (Rev.2) 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Perioada de valabilitate a ofertelor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-60 de zile de la 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depunere a ofertelor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Termenul de plată</w:t>
      </w:r>
    </w:p>
    <w:p w:rsidR="00D57135" w:rsidRPr="00D57135" w:rsidRDefault="00AF4CAD" w:rsidP="00AF4CA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termenul legal prevăzut în ORDONANTA DE URGENTA nr. 34 din 11 aprilie 2009 cu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privire la rectificarea bugetară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anul 2009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reglemen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tarea unor mă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suri financiar-fiscale, art. 36, respectiv perioada 24-31 a fiecărei luni</w:t>
      </w:r>
    </w:p>
    <w:p w:rsidR="005B734C" w:rsidRPr="00D57135" w:rsidRDefault="005B734C" w:rsidP="00D57135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Obiectivul achizitiei directe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incheierea unui contract de achizitie publica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Durata contractului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contractul de </w:t>
      </w:r>
      <w:r w:rsidR="006923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prestare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se va finaliza in 7 luni incepand cu 01.06.2013.</w:t>
      </w:r>
    </w:p>
    <w:p w:rsidR="005B734C" w:rsidRPr="00D57135" w:rsidRDefault="00D57135" w:rsidP="00D57135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func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ție de condițiile economice și posibilitațile financiare ale autorității contractante, la sfarș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itul perioadei de valabilitate a contractului acesta va pu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tea fi prelungit cu acordul parților , prin încheierea în scris a unui act adiț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ional la contrac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 pe o perioadă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maxim 4 luni (pana la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30.04.2014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Termen de execuț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conform caietului de sarcini,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Documente de calificare solicitate: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Se vor prezenta urmatoarele documente :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Scrisoare de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14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1. Cert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ificat de participare la licitaț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cu oferta independenta ,conform Ordinului nr.314/2010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6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2. Declaratia de eligibilitate prin care o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fertantul face dovada ca nu se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ncadreaza la prevederile art 180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3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3. Declarația privind neî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ncadrarea la prev. art.181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4</w:t>
      </w:r>
    </w:p>
    <w:p w:rsidR="005B734C" w:rsidRPr="00D57135" w:rsidRDefault="00D57135" w:rsidP="0048095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4.Declaraț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pe proprie 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aspundere privind neîncadrarea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prevederile art.69^1 din OUG 34/20065.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5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5. Declaratia privind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experiența simila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ră în prestarea de </w:t>
      </w:r>
      <w:r w:rsidR="00587534">
        <w:rPr>
          <w:rFonts w:ascii="Times New Roman" w:eastAsia="Times New Roman" w:hAnsi="Times New Roman" w:cs="Times New Roman"/>
          <w:sz w:val="28"/>
          <w:szCs w:val="28"/>
          <w:lang w:val="ro-RO"/>
        </w:rPr>
        <w:t>servicii de reparație și întreținere aparate de copiat, telefonie și rețele telefonice</w:t>
      </w:r>
      <w:r w:rsidR="00587534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Formularul 9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fiscală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local, se solicită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firmarea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bugetul local.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original sau vizat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7.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CUI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copie vizat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8.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em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is de Oficiul Registrului Comerțului din care să rezulte că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obiectul de activitate al ofertantului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domeniu ce face obiectul achiziț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original sau vizat Conform cu originalul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9. Informaț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generale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7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10. Cel puțin o recomandare privind îndeplinirea obligaț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iilor contractuale pentru servicii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similar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original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privind efectivul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mediu al personalului angajat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al cadrelor de conducere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11</w:t>
      </w:r>
    </w:p>
    <w:p w:rsidR="0048095D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12. Lista privind utilajele, instalaţiile, echipamentele tehnice de care dispune operatorul economic pentru îndeplinirea corespunzătoare a contractului de servicii – Formularul 10</w:t>
      </w:r>
    </w:p>
    <w:p w:rsidR="0048095D" w:rsidRPr="00D57135" w:rsidRDefault="0048095D" w:rsidP="0048095D">
      <w:pPr>
        <w:tabs>
          <w:tab w:val="right" w:pos="1008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13.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Declarație privind protecția mediului și protecț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muncii – Formularul 12 </w:t>
      </w:r>
      <w:r w:rsidRPr="00D57135"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  <w:tab/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privind managementu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calitaț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ii ISO 9001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- copie vizat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15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Propunerea tehnică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ce va consta într-un comentariu articol cu articol al conţinutului caietului de sarcini.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1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 financiara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se va prezenta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conf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ormitate cu Formularul de Ofertă nr.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atașat prezentei invitații.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din Formu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larul de Oferta va fi exprimat în Lei fără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TVA,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ferm, neputâ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fi modificat sau ajustat pe toata perioada de derulare a contractului sau la finele acestuia. 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● Nu se acceptă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 alternative la oferta de bază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oferte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ntarziate, acestea fiind returnate expeditorului nedeschise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 completarea documentelor lipsă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, ulterior deschiderii ofertelor</w:t>
      </w:r>
    </w:p>
    <w:p w:rsidR="005B734C" w:rsidRPr="00587534" w:rsidRDefault="00D57135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8753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Ofertele cu o documentație incompletă</w:t>
      </w:r>
      <w:r w:rsidR="005B734C" w:rsidRPr="0058753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vor fi respinse ca inacceptabile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Modul de î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ntocmire a ofertei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Documentele de 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alificare, propunerea financiară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propunerea tehnică se întocmesc într-un exemplar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se introduc fiecare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plicuri separate marcate corespunzator.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Cele 3 plicuri se introduc într-un plic exterior,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nchis netransparent.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Plicul exterior trebuie sa fie marcat cu: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utorităț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ii contractan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te, denumirea obiectului achiziț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iei directe pentru care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s-a depus oferta privind achiziția directă de „servicii de reparație și întreținere </w:t>
      </w:r>
      <w:r w:rsidR="00587534">
        <w:rPr>
          <w:rFonts w:ascii="Times New Roman" w:eastAsia="Times New Roman" w:hAnsi="Times New Roman" w:cs="Times New Roman"/>
          <w:sz w:val="28"/>
          <w:szCs w:val="28"/>
          <w:lang w:val="ro-RO"/>
        </w:rPr>
        <w:t>aparate de copiat, telefonie și rețele telefonice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" - conform caietului de sarcini 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ofertantului pentr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 a permite returnarea ofertei întarziate nedeschisă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precum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și înscripț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: A NU SE DESCHIDE INAINTE DE DATA DE </w:t>
      </w:r>
      <w:r w:rsidR="00D1417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05.06.2013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ora 09:00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Plicului exterior i se vor atașa scrisoarea de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 (Formular)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Criteriul de atribuire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cel mai scazut dintre ofertele declarate admisibile, care va fi o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ferit pentru toata perioada de 7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luni.</w:t>
      </w:r>
    </w:p>
    <w:p w:rsidR="00FA5A6E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Oferta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se va depune la adresa autoritaț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contractante :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Direcția Venituri Buget Local Sector 2, București, Bd. Gării obor nr. 10, Sector 2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depunerea oferta </w:t>
      </w:r>
      <w:r w:rsidR="00D1417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05.06.2013 </w:t>
      </w:r>
      <w:r w:rsidR="00290A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ora 9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:00 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Desc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hiderea ofertelor: va avea loc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data de </w:t>
      </w:r>
      <w:r w:rsidR="00D1417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05.06.2013 </w:t>
      </w:r>
      <w:bookmarkStart w:id="0" w:name="_GoBack"/>
      <w:bookmarkEnd w:id="0"/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ora 9:0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0. la adresa mai sus mentionată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Contractul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tip care se va semna se regasește în presenta </w:t>
      </w:r>
      <w:r w:rsidR="00215A2B"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invitaț</w:t>
      </w:r>
      <w:r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Persoana de contact pentru caietul de sarcini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Lucian Mitroiu – tel. 0720777137, Șef Serviciu Achiziții Publice, Administrativ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CRISTIAN ATANASIE DUȚU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 Adjunct,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Anton Steiner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SERVICIUL ACHIZITII PUBLICE, ADMINISTRATIV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Lucian Mitroiu</w:t>
      </w:r>
    </w:p>
    <w:p w:rsidR="0016018D" w:rsidRPr="00D57135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063161" w:rsidRDefault="00063161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534" w:rsidRDefault="00587534" w:rsidP="00587534">
      <w:pPr>
        <w:keepNext/>
        <w:spacing w:after="0" w:line="240" w:lineRule="auto"/>
        <w:ind w:left="-280" w:right="-19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:rsidR="00587534" w:rsidRDefault="00587534" w:rsidP="00587534">
      <w:pPr>
        <w:keepNext/>
        <w:spacing w:after="0" w:line="240" w:lineRule="auto"/>
        <w:ind w:left="-280" w:right="-19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:rsidR="00587534" w:rsidRDefault="00587534" w:rsidP="00587534">
      <w:pPr>
        <w:keepNext/>
        <w:spacing w:after="0" w:line="240" w:lineRule="auto"/>
        <w:ind w:left="-280" w:right="-19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:rsidR="00587534" w:rsidRPr="00587534" w:rsidRDefault="00587534" w:rsidP="00587534">
      <w:pPr>
        <w:keepNext/>
        <w:spacing w:after="0" w:line="240" w:lineRule="auto"/>
        <w:ind w:left="-280" w:right="-19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CAIET DE SARCINI</w:t>
      </w:r>
    </w:p>
    <w:p w:rsidR="00587534" w:rsidRPr="00587534" w:rsidRDefault="00587534" w:rsidP="00587534">
      <w:pPr>
        <w:spacing w:after="0" w:line="240" w:lineRule="auto"/>
        <w:ind w:left="-280" w:right="-199"/>
        <w:jc w:val="center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587534" w:rsidRPr="00587534" w:rsidRDefault="00587534" w:rsidP="00587534">
      <w:pPr>
        <w:keepNext/>
        <w:spacing w:after="0" w:line="240" w:lineRule="auto"/>
        <w:ind w:left="-280" w:right="-199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Privind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achiziţionarea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servicii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privind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întreţinerea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şi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asistenţa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tehnică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aparate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fotocopiat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aparate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şi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reţele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telefonice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sediile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Direcţiei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Venituri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Buget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Local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Sector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 xml:space="preserve"> 2</w:t>
      </w:r>
    </w:p>
    <w:p w:rsidR="00587534" w:rsidRPr="00587534" w:rsidRDefault="00587534" w:rsidP="00587534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</w:pP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Oferta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Financiară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 xml:space="preserve"> va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cuprinde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următoarele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: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valoarea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abonamentului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lunar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</w:rPr>
        <w:t>Copiatoare</w:t>
      </w:r>
      <w:proofErr w:type="spellEnd"/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Copiatoare CANON IR 3530 – 1</w:t>
      </w: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buc.</w:t>
      </w:r>
    </w:p>
    <w:p w:rsid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>Copiatoare CANON IR 2270 – 3 buc.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Copiator CANON IR 3570 – 1 buc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>Minolta EP 2030 –1buc.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>Konica Minolta BizHub 162 – 1 buc.</w:t>
      </w:r>
    </w:p>
    <w:p w:rsid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>Konica Minolta BizHub 210 – 1 buc.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Konica minolta BizHub 250 – 2 buc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>Aparate Fax: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sz w:val="24"/>
          <w:szCs w:val="24"/>
          <w:lang w:val="ro-RO"/>
        </w:rPr>
        <w:t>PANASONIC – 10 bucăţi</w:t>
      </w:r>
    </w:p>
    <w:p w:rsidR="00587534" w:rsidRPr="00587534" w:rsidRDefault="00587534" w:rsidP="0058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87534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Reţele telefonice</w:t>
      </w:r>
      <w:r w:rsidRPr="00587534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pentru sediile DVBL – 7 buc.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valoarea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abonamentului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lunar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defalcat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fiecare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echipament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tehnică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calcul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în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parte: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copiatoare</w:t>
      </w:r>
      <w:proofErr w:type="spellEnd"/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aparate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fax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reţele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telefonice</w:t>
      </w:r>
      <w:proofErr w:type="spellEnd"/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In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preţul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abonamentului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vor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fi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incluse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următoarele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Verificarea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generală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echipamentului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(la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începutul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contractului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Transportul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la/de la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sediul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beneficiarului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;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Curăţirea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trimestrială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echipamentelor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87534" w:rsidRPr="00587534" w:rsidRDefault="00587534" w:rsidP="00587534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Prezentarea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intervenţie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în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maxim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24 de ore de la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solicitarea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beneficiarului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;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Pentru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reparaţiile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care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necesită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mai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mult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5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zile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lucrătoare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, se va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asigura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în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această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perioadă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un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echipament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similar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,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până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la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remedierea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defecţiunilor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;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Înlocuirea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componentelor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necesare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remedierii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defecţiunii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se face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pe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bază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pv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</w:rPr>
        <w:t>constatare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</w:rPr>
        <w:t>, contra cost;</w:t>
      </w:r>
    </w:p>
    <w:p w:rsidR="00587534" w:rsidRPr="00587534" w:rsidRDefault="00587534" w:rsidP="005875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Diagnosticarea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tipului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defecţiune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se va face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cât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posibil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la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sediul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beneficiarului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,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cu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întocmirea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unui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unui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Proces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verbal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constatare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semnat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de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ambele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părţi</w:t>
      </w:r>
      <w:proofErr w:type="spellEnd"/>
      <w:r w:rsidRPr="00587534">
        <w:rPr>
          <w:rFonts w:ascii="Times New Roman" w:eastAsia="Times New Roman" w:hAnsi="Times New Roman" w:cs="Times New Roman"/>
          <w:sz w:val="28"/>
          <w:szCs w:val="24"/>
          <w:lang w:val="fr-FR"/>
        </w:rPr>
        <w:t>;</w:t>
      </w: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587534" w:rsidRDefault="00587534" w:rsidP="0058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34" w:rsidRPr="00D57135" w:rsidRDefault="00587534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587534" w:rsidRPr="00D57135" w:rsidSect="00587534">
      <w:pgSz w:w="12240" w:h="15840"/>
      <w:pgMar w:top="450" w:right="7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CD5"/>
    <w:multiLevelType w:val="singleLevel"/>
    <w:tmpl w:val="F2D806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28F7538"/>
    <w:multiLevelType w:val="hybridMultilevel"/>
    <w:tmpl w:val="97981BB0"/>
    <w:lvl w:ilvl="0" w:tplc="E4369C6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C"/>
    <w:rsid w:val="000017C0"/>
    <w:rsid w:val="0003358B"/>
    <w:rsid w:val="00063161"/>
    <w:rsid w:val="0006642B"/>
    <w:rsid w:val="000B7D97"/>
    <w:rsid w:val="000D45B2"/>
    <w:rsid w:val="0016018D"/>
    <w:rsid w:val="00215A2B"/>
    <w:rsid w:val="00232774"/>
    <w:rsid w:val="00290AAA"/>
    <w:rsid w:val="0038521F"/>
    <w:rsid w:val="003C2EB6"/>
    <w:rsid w:val="00453457"/>
    <w:rsid w:val="0048095D"/>
    <w:rsid w:val="00587534"/>
    <w:rsid w:val="005B734C"/>
    <w:rsid w:val="006923D6"/>
    <w:rsid w:val="006D2481"/>
    <w:rsid w:val="008C0493"/>
    <w:rsid w:val="00984FCC"/>
    <w:rsid w:val="00AA23A1"/>
    <w:rsid w:val="00AF4CAD"/>
    <w:rsid w:val="00D14170"/>
    <w:rsid w:val="00D16061"/>
    <w:rsid w:val="00D57135"/>
    <w:rsid w:val="00E14E90"/>
    <w:rsid w:val="00E52C82"/>
    <w:rsid w:val="00F50D46"/>
    <w:rsid w:val="00FA5788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CaracterCaracterCaracterCharCaracterCaracter1">
    <w:name w:val="Caracter Caracter Caracter Caracter Caracter Caracter Char Caracter Caracter"/>
    <w:basedOn w:val="Normal"/>
    <w:rsid w:val="0058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CaracterCaracterCaracterCharCaracterCaracter1">
    <w:name w:val="Caracter Caracter Caracter Caracter Caracter Caracter Char Caracter Caracter"/>
    <w:basedOn w:val="Normal"/>
    <w:rsid w:val="0058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4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6D5DD"/>
                                    <w:left w:val="single" w:sz="6" w:space="7" w:color="C6D5DD"/>
                                    <w:bottom w:val="single" w:sz="6" w:space="7" w:color="C6D5DD"/>
                                    <w:right w:val="single" w:sz="6" w:space="7" w:color="C6D5DD"/>
                                  </w:divBdr>
                                  <w:divsChild>
                                    <w:div w:id="8805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7</cp:revision>
  <cp:lastPrinted>2013-05-27T13:22:00Z</cp:lastPrinted>
  <dcterms:created xsi:type="dcterms:W3CDTF">2013-05-23T09:36:00Z</dcterms:created>
  <dcterms:modified xsi:type="dcterms:W3CDTF">2013-05-29T12:31:00Z</dcterms:modified>
</cp:coreProperties>
</file>